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5"/>
        <w:jc w:val="both"/>
        <w:rPr>
          <w:rFonts w:hint="default" w:eastAsia="宋体"/>
          <w:sz w:val="48"/>
          <w:szCs w:val="48"/>
          <w:lang w:val="en-US" w:eastAsia="zh-CN"/>
        </w:rPr>
      </w:pPr>
      <w:r>
        <w:rPr>
          <w:rFonts w:hint="eastAsia" w:eastAsia="宋体"/>
          <w:sz w:val="48"/>
          <w:szCs w:val="48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合同编号：</w:t>
      </w:r>
    </w:p>
    <w:p>
      <w:pPr>
        <w:pStyle w:val="25"/>
        <w:jc w:val="both"/>
        <w:rPr>
          <w:rFonts w:hint="eastAsia" w:eastAsia="宋体"/>
          <w:sz w:val="48"/>
          <w:szCs w:val="48"/>
          <w:lang w:eastAsia="zh-CN"/>
        </w:rPr>
      </w:pPr>
    </w:p>
    <w:p>
      <w:pPr>
        <w:pStyle w:val="25"/>
        <w:jc w:val="center"/>
        <w:rPr>
          <w:rFonts w:hint="eastAsia" w:eastAsia="宋体"/>
          <w:sz w:val="44"/>
          <w:szCs w:val="44"/>
          <w:lang w:eastAsia="zh-CN"/>
        </w:rPr>
      </w:pPr>
    </w:p>
    <w:p>
      <w:pPr>
        <w:pStyle w:val="25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磷酸二氢钾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/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颗粒大袋包装生产线</w:t>
      </w:r>
    </w:p>
    <w:p>
      <w:pPr>
        <w:pStyle w:val="3"/>
        <w:jc w:val="center"/>
        <w:rPr>
          <w:rFonts w:hint="eastAsia" w:eastAsia="宋体"/>
          <w:sz w:val="48"/>
          <w:szCs w:val="48"/>
          <w:lang w:eastAsia="zh-CN"/>
        </w:rPr>
      </w:pPr>
    </w:p>
    <w:p>
      <w:pPr>
        <w:pStyle w:val="3"/>
        <w:jc w:val="both"/>
        <w:rPr>
          <w:rFonts w:hint="eastAsia" w:eastAsia="宋体"/>
          <w:sz w:val="48"/>
          <w:szCs w:val="48"/>
          <w:lang w:eastAsia="zh-CN"/>
        </w:rPr>
      </w:pPr>
    </w:p>
    <w:p>
      <w:pPr>
        <w:pStyle w:val="3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>
      <w:pPr>
        <w:pStyle w:val="3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技</w:t>
      </w:r>
    </w:p>
    <w:p>
      <w:pPr>
        <w:pStyle w:val="3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术</w:t>
      </w:r>
    </w:p>
    <w:p>
      <w:pPr>
        <w:pStyle w:val="3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协</w:t>
      </w:r>
    </w:p>
    <w:p>
      <w:pPr>
        <w:pStyle w:val="3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eastAsia="zh-CN"/>
        </w:rPr>
        <w:t>议</w:t>
      </w:r>
    </w:p>
    <w:p>
      <w:pPr>
        <w:pStyle w:val="3"/>
        <w:rPr>
          <w:sz w:val="48"/>
          <w:szCs w:val="48"/>
        </w:rPr>
      </w:pPr>
    </w:p>
    <w:p>
      <w:pPr>
        <w:pStyle w:val="3"/>
        <w:ind w:firstLine="2240" w:firstLineChars="800"/>
        <w:jc w:val="both"/>
        <w:rPr>
          <w:rFonts w:hint="eastAsia" w:eastAsia="宋体"/>
          <w:sz w:val="28"/>
          <w:szCs w:val="28"/>
          <w:lang w:eastAsia="zh-CN"/>
        </w:rPr>
      </w:pPr>
    </w:p>
    <w:p>
      <w:pPr>
        <w:pStyle w:val="3"/>
        <w:ind w:firstLine="2240" w:firstLineChars="800"/>
        <w:jc w:val="both"/>
        <w:rPr>
          <w:rFonts w:hint="eastAsia" w:eastAsia="宋体"/>
          <w:sz w:val="28"/>
          <w:szCs w:val="28"/>
          <w:lang w:eastAsia="zh-CN"/>
        </w:rPr>
      </w:pPr>
    </w:p>
    <w:p>
      <w:pPr>
        <w:pStyle w:val="3"/>
        <w:ind w:firstLine="2240" w:firstLineChars="800"/>
        <w:jc w:val="both"/>
        <w:rPr>
          <w:rFonts w:hint="eastAsia" w:eastAsia="宋体"/>
          <w:sz w:val="28"/>
          <w:szCs w:val="28"/>
          <w:lang w:eastAsia="zh-CN"/>
        </w:rPr>
      </w:pPr>
    </w:p>
    <w:p>
      <w:pPr>
        <w:pStyle w:val="3"/>
        <w:ind w:firstLine="2240" w:firstLineChars="800"/>
        <w:jc w:val="both"/>
        <w:rPr>
          <w:rFonts w:hint="eastAsia" w:eastAsia="宋体"/>
          <w:sz w:val="28"/>
          <w:szCs w:val="28"/>
          <w:lang w:eastAsia="zh-CN"/>
        </w:rPr>
      </w:pPr>
    </w:p>
    <w:p>
      <w:pPr>
        <w:pStyle w:val="3"/>
        <w:rPr>
          <w:sz w:val="48"/>
          <w:szCs w:val="48"/>
        </w:rPr>
      </w:pPr>
    </w:p>
    <w:p>
      <w:pPr>
        <w:pStyle w:val="3"/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2020年12月07日</w:t>
      </w:r>
    </w:p>
    <w:p>
      <w:pPr>
        <w:pStyle w:val="3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>
      <w:pPr>
        <w:pStyle w:val="3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甲方：    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嘉善捷诺自动化科技股份有限公司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</w:p>
    <w:p>
      <w:pPr>
        <w:pStyle w:val="3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一、标的内容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甲乙双方经充分协商，现就甲方向乙方购买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颗粒大袋包装生产线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的有关技术事宜达成一致，签订本协议并共同遵守。</w:t>
      </w:r>
    </w:p>
    <w:p>
      <w:pPr>
        <w:pStyle w:val="3"/>
        <w:numPr>
          <w:ilvl w:val="0"/>
          <w:numId w:val="1"/>
        </w:num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客户参数要求</w:t>
      </w:r>
    </w:p>
    <w:p>
      <w:pPr>
        <w:pStyle w:val="3"/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颗粒物料：磷酸二氢钾</w:t>
      </w:r>
    </w:p>
    <w:p>
      <w:pPr>
        <w:pStyle w:val="3"/>
        <w:numPr>
          <w:ilvl w:val="0"/>
          <w:numId w:val="2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年产量：5000t/年（300天/年工作日）</w:t>
      </w:r>
    </w:p>
    <w:p>
      <w:pPr>
        <w:pStyle w:val="3"/>
        <w:numPr>
          <w:ilvl w:val="0"/>
          <w:numId w:val="2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包装规格：25kg/袋</w:t>
      </w:r>
    </w:p>
    <w:p>
      <w:pPr>
        <w:pStyle w:val="3"/>
        <w:numPr>
          <w:ilvl w:val="0"/>
          <w:numId w:val="2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每天24小时间歇包装</w:t>
      </w:r>
    </w:p>
    <w:p>
      <w:pPr>
        <w:pStyle w:val="3"/>
        <w:numPr>
          <w:ilvl w:val="0"/>
          <w:numId w:val="2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包装袋材质：</w:t>
      </w:r>
    </w:p>
    <w:p>
      <w:pPr>
        <w:pStyle w:val="3"/>
        <w:numPr>
          <w:ilvl w:val="0"/>
          <w:numId w:val="2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包装袋规格：</w:t>
      </w:r>
    </w:p>
    <w:p>
      <w:pPr>
        <w:pStyle w:val="3"/>
        <w:numPr>
          <w:ilvl w:val="0"/>
          <w:numId w:val="2"/>
        </w:numP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物料比重：</w:t>
      </w:r>
    </w:p>
    <w:p>
      <w:pPr>
        <w:pStyle w:val="3"/>
        <w:numPr>
          <w:ilvl w:val="0"/>
          <w:numId w:val="1"/>
        </w:num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设备参数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1.大袋包装主机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外形尺寸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</w:p>
    <w:p>
      <w:pPr>
        <w:pStyle w:val="3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2.工艺流程：包装机定量称重-包装袋缝线缝包-包装袋自动喷码。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3.主体材质：304不锈钢制作。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4.计量方式：称重传感器检测包装重量自动充填。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5.喂料方式：闸门给料，振动补料。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6.包装重量：25公斤/袋。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7.包装精度：</w:t>
      </w:r>
      <w:r>
        <w:rPr>
          <w:rFonts w:hint="default" w:ascii="Arial" w:hAnsi="Arial" w:cs="Arial" w:eastAsiaTheme="minorEastAsia"/>
          <w:sz w:val="28"/>
          <w:szCs w:val="28"/>
          <w:lang w:val="en-US" w:eastAsia="zh-CN"/>
        </w:rPr>
        <w:t>≤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0.2%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8.包装速度：1-3包/分钟。</w:t>
      </w: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9.耗气量：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6kg/cm²   0.2m³/min</w:t>
      </w:r>
    </w:p>
    <w:p>
      <w:pPr>
        <w:pStyle w:val="3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10.电源：三相380V</w:t>
      </w:r>
    </w:p>
    <w:p>
      <w:pPr>
        <w:pStyle w:val="3"/>
        <w:numPr>
          <w:ilvl w:val="0"/>
          <w:numId w:val="1"/>
        </w:num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乙方供货范围</w:t>
      </w:r>
    </w:p>
    <w:tbl>
      <w:tblPr>
        <w:tblStyle w:val="19"/>
        <w:tblW w:w="86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224"/>
        <w:gridCol w:w="5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shd w:val="clear" w:color="auto" w:fill="auto"/>
                <w:vertAlign w:val="baseline"/>
                <w:lang w:eastAsia="zh-CN"/>
              </w:rPr>
              <w:t>产品名称</w:t>
            </w:r>
          </w:p>
        </w:tc>
        <w:tc>
          <w:tcPr>
            <w:tcW w:w="1224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shd w:val="clear" w:color="auto" w:fill="auto"/>
                <w:vertAlign w:val="baseline"/>
                <w:lang w:eastAsia="zh-CN"/>
              </w:rPr>
              <w:t>数量</w:t>
            </w:r>
          </w:p>
        </w:tc>
        <w:tc>
          <w:tcPr>
            <w:tcW w:w="5286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8"/>
                <w:szCs w:val="28"/>
                <w:shd w:val="clear" w:color="auto" w:fill="auto"/>
                <w:vertAlign w:val="baseline"/>
                <w:lang w:eastAsia="zh-CN"/>
              </w:rPr>
              <w:t>设备配置表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</w:tcPr>
          <w:p>
            <w:p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eastAsia="zh-CN"/>
              </w:rPr>
              <w:t>颗粒大袋包装机</w:t>
            </w:r>
          </w:p>
        </w:tc>
        <w:tc>
          <w:tcPr>
            <w:tcW w:w="1224" w:type="dxa"/>
          </w:tcPr>
          <w:p>
            <w:pPr>
              <w:rPr>
                <w:rFonts w:hint="default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1台</w:t>
            </w:r>
          </w:p>
        </w:tc>
        <w:tc>
          <w:tcPr>
            <w:tcW w:w="5286" w:type="dxa"/>
          </w:tcPr>
          <w:p>
            <w:pPr>
              <w:numPr>
                <w:ilvl w:val="0"/>
                <w:numId w:val="3"/>
              </w:numP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主体材质304不锈钢；</w:t>
            </w:r>
          </w:p>
          <w:p>
            <w:pPr>
              <w:numPr>
                <w:ilvl w:val="0"/>
                <w:numId w:val="3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闸门给料、振动补料；</w:t>
            </w:r>
          </w:p>
          <w:p>
            <w:pPr>
              <w:numPr>
                <w:ilvl w:val="0"/>
                <w:numId w:val="3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台达PLC控制系统；</w:t>
            </w:r>
          </w:p>
          <w:p>
            <w:pPr>
              <w:numPr>
                <w:ilvl w:val="0"/>
                <w:numId w:val="3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台达触摸屏，操作便捷直观；</w:t>
            </w:r>
          </w:p>
          <w:p>
            <w:pPr>
              <w:numPr>
                <w:ilvl w:val="0"/>
                <w:numId w:val="3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气动夹袋装置1套；</w:t>
            </w:r>
          </w:p>
          <w:p>
            <w:pPr>
              <w:numPr>
                <w:ilvl w:val="0"/>
                <w:numId w:val="3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梅特勒托力多称重传感器1只；</w:t>
            </w:r>
          </w:p>
          <w:p>
            <w:pPr>
              <w:numPr>
                <w:ilvl w:val="0"/>
                <w:numId w:val="3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电控柜：电器元件正泰品牌；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</w:tcPr>
          <w:p>
            <w:p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缝包机</w:t>
            </w:r>
          </w:p>
        </w:tc>
        <w:tc>
          <w:tcPr>
            <w:tcW w:w="1224" w:type="dxa"/>
          </w:tcPr>
          <w:p>
            <w:pPr>
              <w:rPr>
                <w:rFonts w:hint="default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1台</w:t>
            </w:r>
          </w:p>
        </w:tc>
        <w:tc>
          <w:tcPr>
            <w:tcW w:w="5286" w:type="dxa"/>
          </w:tcPr>
          <w:p>
            <w:pPr>
              <w:numPr>
                <w:ilvl w:val="0"/>
                <w:numId w:val="4"/>
              </w:numP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eastAsia="zh-CN"/>
              </w:rPr>
              <w:t>含</w:t>
            </w: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2米皮带输送机，绿色PVC；</w:t>
            </w:r>
          </w:p>
          <w:p>
            <w:pPr>
              <w:numPr>
                <w:ilvl w:val="0"/>
                <w:numId w:val="4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含碳钢立柱；</w:t>
            </w:r>
          </w:p>
          <w:p>
            <w:pPr>
              <w:numPr>
                <w:ilvl w:val="0"/>
                <w:numId w:val="4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缝包机头碳钢的GK35-6A切刀式；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</w:tcPr>
          <w:p>
            <w:p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自动喷码机</w:t>
            </w:r>
          </w:p>
        </w:tc>
        <w:tc>
          <w:tcPr>
            <w:tcW w:w="1224" w:type="dxa"/>
          </w:tcPr>
          <w:p>
            <w:pPr>
              <w:rPr>
                <w:rFonts w:hint="default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1台</w:t>
            </w:r>
          </w:p>
        </w:tc>
        <w:tc>
          <w:tcPr>
            <w:tcW w:w="5286" w:type="dxa"/>
          </w:tcPr>
          <w:p>
            <w:pPr>
              <w:numPr>
                <w:ilvl w:val="0"/>
                <w:numId w:val="5"/>
              </w:numP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喷印行数：1-4行；</w:t>
            </w:r>
          </w:p>
          <w:p>
            <w:pPr>
              <w:numPr>
                <w:ilvl w:val="0"/>
                <w:numId w:val="5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电源AC220V；</w:t>
            </w:r>
          </w:p>
          <w:p>
            <w:pPr>
              <w:numPr>
                <w:ilvl w:val="0"/>
                <w:numId w:val="5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喷头导管2m，可定做；</w:t>
            </w:r>
          </w:p>
          <w:p>
            <w:pPr>
              <w:numPr>
                <w:ilvl w:val="0"/>
                <w:numId w:val="5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整机重量29kg；</w:t>
            </w:r>
          </w:p>
          <w:p>
            <w:pPr>
              <w:numPr>
                <w:ilvl w:val="0"/>
                <w:numId w:val="5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外型尺寸：370X270X520mm;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4" w:type="dxa"/>
          </w:tcPr>
          <w:p>
            <w:pP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手持缝包机</w:t>
            </w:r>
          </w:p>
        </w:tc>
        <w:tc>
          <w:tcPr>
            <w:tcW w:w="1224" w:type="dxa"/>
          </w:tcPr>
          <w:p>
            <w:pPr>
              <w:rPr>
                <w:rFonts w:hint="default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1台</w:t>
            </w:r>
          </w:p>
        </w:tc>
        <w:tc>
          <w:tcPr>
            <w:tcW w:w="5286" w:type="dxa"/>
          </w:tcPr>
          <w:p>
            <w:pPr>
              <w:numPr>
                <w:ilvl w:val="0"/>
                <w:numId w:val="6"/>
              </w:numP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枪式手提电动缝包机；</w:t>
            </w:r>
          </w:p>
          <w:p>
            <w:pPr>
              <w:numPr>
                <w:ilvl w:val="0"/>
                <w:numId w:val="6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材质进口合金钢，绝缘材料；</w:t>
            </w:r>
          </w:p>
          <w:p>
            <w:pPr>
              <w:numPr>
                <w:ilvl w:val="0"/>
                <w:numId w:val="6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设备线轨道：单线链式条；</w:t>
            </w:r>
          </w:p>
          <w:p>
            <w:pPr>
              <w:numPr>
                <w:ilvl w:val="0"/>
                <w:numId w:val="6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功率190W；</w:t>
            </w:r>
          </w:p>
          <w:p>
            <w:pPr>
              <w:numPr>
                <w:ilvl w:val="0"/>
                <w:numId w:val="6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净重2.8KG；</w:t>
            </w:r>
          </w:p>
          <w:p>
            <w:pPr>
              <w:numPr>
                <w:ilvl w:val="0"/>
                <w:numId w:val="6"/>
              </w:numPr>
              <w:rPr>
                <w:rFonts w:hint="default" w:asciiTheme="minorEastAsia" w:hAnsiTheme="minorEastAsia" w:cstheme="minorEastAsia"/>
                <w:b w:val="0"/>
                <w:bCs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color w:val="FF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该机为备用机；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4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b/>
                <w:bCs w:val="0"/>
                <w:color w:val="FF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b w:val="0"/>
                <w:bCs/>
                <w:color w:val="FF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 w:val="0"/>
                <w:color w:val="FF000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甲方现场需要自备：三相380V电源、气源（空压机）、供料源、包装袋等。</w:t>
            </w:r>
          </w:p>
        </w:tc>
      </w:tr>
    </w:tbl>
    <w:p>
      <w:pPr>
        <w:pStyle w:val="3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技术说明</w:t>
      </w:r>
    </w:p>
    <w:p>
      <w:pPr>
        <w:pStyle w:val="3"/>
        <w:ind w:firstLine="560" w:firstLineChars="200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颗粒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25公斤包装生产线1套（详见附图CAD示意），将磷酸二氢钾进行分装。通过人工套袋-包装机自动定量充填-人工取袋、线缝包-自动外袋喷码-完成包装。</w:t>
      </w:r>
    </w:p>
    <w:p>
      <w:pPr>
        <w:pStyle w:val="3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六、交货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期</w:t>
      </w:r>
    </w:p>
    <w:p>
      <w:pPr>
        <w:pStyle w:val="3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1.生产周期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：合同签订，收到预付款后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25天。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交货方式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：物流运输，运输费用乙方负担。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交货地点及联系人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4.乙方负责设备发货装车，运到甲方指定地点。甲方负责卸货行吊、设备就位。期间需要使用“吊车”、“叉车”等工程机械、工具时由甲方解决。</w:t>
      </w:r>
    </w:p>
    <w:p>
      <w:pPr>
        <w:pStyle w:val="3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安装调试和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验收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1.本次采购设备，乙方不包含现场安装调试费用。（如需乙方指派工程人员到达现场指导安装、调试、培训的，需要另外支付差旅费）工程师差旅补贴800元/人/天，车马费食宿费由甲方负担。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2.甲方负责确认安装位置、提供安装现场必须的水、电、气等接口；</w:t>
      </w:r>
    </w:p>
    <w:p>
      <w:pPr>
        <w:pStyle w:val="3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八、技术资料及附件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1 、乙方应提供的资料清单如下：  </w:t>
      </w:r>
    </w:p>
    <w:tbl>
      <w:tblPr>
        <w:tblStyle w:val="29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937"/>
        <w:gridCol w:w="1004"/>
        <w:gridCol w:w="5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资料名称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数量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使用说明书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 份 / 台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说明书应包含设备操作、安装及维护维修内容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2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设备元器件装配分解图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 份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图中要求标明零部件名称、型号及厂家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备件、易损件清单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 份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要求标明零部件名称、型号及厂家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4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外购件清单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 份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要求标明零部件名称、型号及厂家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5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电子档资料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 份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资料包含使用说明书、设备元器件装配分解图、备件、易损件及外构件清单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6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出厂合格证</w:t>
            </w:r>
          </w:p>
        </w:tc>
        <w:tc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 份 / 台</w:t>
            </w:r>
          </w:p>
        </w:tc>
        <w:tc>
          <w:p>
            <w:pP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>
      <w:pPr>
        <w:pStyle w:val="3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、培训、质保及售后服务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114300" cy="152400"/>
            <wp:effectExtent l="0" t="0" r="0" b="0"/>
            <wp:docPr id="2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培训： 合同生效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5天后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派 2 名员工来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我司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协助〔学习〕安装凋试，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负责食宿等费用。</w:t>
      </w:r>
    </w:p>
    <w:p>
      <w:pPr>
        <w:pStyle w:val="3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114300" cy="152400"/>
            <wp:effectExtent l="0" t="0" r="0" b="0"/>
            <wp:docPr id="2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质保期：</w:t>
      </w:r>
      <w:r>
        <w:rPr>
          <w:rFonts w:hint="eastAsia" w:ascii="宋体" w:hAnsi="宋体" w:eastAsia="宋体" w:cs="宋体"/>
          <w:sz w:val="28"/>
          <w:szCs w:val="28"/>
        </w:rPr>
        <w:t>出厂保修12个月（人为损坏除外）。属于质量问题出现故障（常规操作状态下）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乙</w:t>
      </w:r>
      <w:r>
        <w:rPr>
          <w:rFonts w:hint="eastAsia" w:ascii="宋体" w:hAnsi="宋体" w:eastAsia="宋体" w:cs="宋体"/>
          <w:sz w:val="28"/>
          <w:szCs w:val="28"/>
        </w:rPr>
        <w:t>方免费维修。因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甲</w:t>
      </w:r>
      <w:r>
        <w:rPr>
          <w:rFonts w:hint="eastAsia" w:ascii="宋体" w:hAnsi="宋体" w:eastAsia="宋体" w:cs="宋体"/>
          <w:sz w:val="28"/>
          <w:szCs w:val="28"/>
        </w:rPr>
        <w:t>方违规操作或因环境因素所造成的损坏，零配件由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甲方</w:t>
      </w:r>
      <w:r>
        <w:rPr>
          <w:rFonts w:hint="eastAsia" w:ascii="宋体" w:hAnsi="宋体" w:eastAsia="宋体" w:cs="宋体"/>
          <w:sz w:val="28"/>
          <w:szCs w:val="28"/>
        </w:rPr>
        <w:t>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乙</w:t>
      </w:r>
      <w:r>
        <w:rPr>
          <w:rFonts w:hint="eastAsia" w:ascii="宋体" w:hAnsi="宋体" w:eastAsia="宋体" w:cs="宋体"/>
          <w:sz w:val="28"/>
          <w:szCs w:val="28"/>
        </w:rPr>
        <w:t>方购买。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114300" cy="152400"/>
            <wp:effectExtent l="0" t="0" r="0" b="0"/>
            <wp:docPr id="2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售后服务：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乙方负责按照上述要求在交货时提供相关附件资料 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质量保证期内，由于设计、制造等原因造成的设备损坏，由乙方负责；若造成甲方经济损失，乙方应予以赔偿。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质保期内如设备出现故障，乙方收到甲方通知后，应在72小时内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安排维修事宜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质保期外乙方对设备仍提供优质的服务和低价的配件。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十一、其他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114300" cy="152400"/>
            <wp:effectExtent l="0" t="0" r="0" b="0"/>
            <wp:docPr id="2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本协议一式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份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，双方各持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一份；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drawing>
          <wp:inline distT="0" distB="0" distL="114300" distR="114300">
            <wp:extent cx="114300" cy="152400"/>
            <wp:effectExtent l="0" t="0" r="0" b="0"/>
            <wp:docPr id="2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有附加条款详细描述。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甲方：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乙方：  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甲方代表：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乙方代表：</w:t>
      </w:r>
    </w:p>
    <w:p>
      <w:pPr>
        <w:pStyle w:val="3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日期：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日期：</w:t>
      </w:r>
    </w:p>
    <w:p>
      <w:pPr>
        <w:pStyle w:val="25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br w:type="textWrapping"/>
      </w:r>
      <w:bookmarkStart w:id="1" w:name="_GoBack"/>
      <w:bookmarkEnd w:id="1"/>
      <w:bookmarkStart w:id="0" w:name="img-content"/>
      <w:bookmarkEnd w:id="0"/>
    </w:p>
    <w:sectPr/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43997A"/>
    <w:multiLevelType w:val="singleLevel"/>
    <w:tmpl w:val="99439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53DE39D"/>
    <w:multiLevelType w:val="singleLevel"/>
    <w:tmpl w:val="D53DE3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C800AE6"/>
    <w:multiLevelType w:val="singleLevel"/>
    <w:tmpl w:val="DC800A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77FE2F3"/>
    <w:multiLevelType w:val="singleLevel"/>
    <w:tmpl w:val="277FE2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10CE8CA"/>
    <w:multiLevelType w:val="singleLevel"/>
    <w:tmpl w:val="410CE8C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A1D5747"/>
    <w:multiLevelType w:val="singleLevel"/>
    <w:tmpl w:val="4A1D57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109A76DA"/>
    <w:rsid w:val="3A21169B"/>
    <w:rsid w:val="3D8C4E9D"/>
    <w:rsid w:val="4A724ABB"/>
    <w:rsid w:val="5F304902"/>
    <w:rsid w:val="682D485A"/>
    <w:rsid w:val="78E010C3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20">
    <w:name w:val="Default Paragraph Font"/>
    <w:semiHidden/>
    <w:unhideWhenUsed/>
    <w:qFormat/>
    <w:uiPriority w:val="0"/>
  </w:style>
  <w:style w:type="table" w:default="1" w:styleId="1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qFormat/>
    <w:uiPriority w:val="0"/>
    <w:pPr>
      <w:spacing w:before="180" w:after="180"/>
    </w:pPr>
  </w:style>
  <w:style w:type="paragraph" w:styleId="12">
    <w:name w:val="caption"/>
    <w:basedOn w:val="1"/>
    <w:next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basedOn w:val="22"/>
    <w:qFormat/>
    <w:uiPriority w:val="0"/>
    <w:rPr>
      <w:color w:val="4F81BD" w:themeColor="accent1"/>
    </w:rPr>
  </w:style>
  <w:style w:type="character" w:customStyle="1" w:styleId="22">
    <w:name w:val="Body Text Char"/>
    <w:basedOn w:val="20"/>
    <w:link w:val="3"/>
    <w:qFormat/>
    <w:uiPriority w:val="0"/>
  </w:style>
  <w:style w:type="character" w:styleId="23">
    <w:name w:val="footnote reference"/>
    <w:basedOn w:val="22"/>
    <w:qFormat/>
    <w:uiPriority w:val="0"/>
    <w:rPr>
      <w:vertAlign w:val="superscript"/>
    </w:rPr>
  </w:style>
  <w:style w:type="paragraph" w:customStyle="1" w:styleId="24">
    <w:name w:val="First Paragraph"/>
    <w:basedOn w:val="3"/>
    <w:next w:val="3"/>
    <w:qFormat/>
    <w:uiPriority w:val="0"/>
  </w:style>
  <w:style w:type="paragraph" w:customStyle="1" w:styleId="25">
    <w:name w:val="Compact"/>
    <w:basedOn w:val="3"/>
    <w:qFormat/>
    <w:uiPriority w:val="0"/>
    <w:pPr>
      <w:spacing w:before="36" w:after="36"/>
    </w:pPr>
  </w:style>
  <w:style w:type="paragraph" w:customStyle="1" w:styleId="26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" w:eastAsia="en-US" w:bidi="ar-SA"/>
    </w:rPr>
  </w:style>
  <w:style w:type="paragraph" w:customStyle="1" w:styleId="27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8">
    <w:name w:val="Bibliography"/>
    <w:basedOn w:val="1"/>
    <w:qFormat/>
    <w:uiPriority w:val="0"/>
  </w:style>
  <w:style w:type="table" w:customStyle="1" w:styleId="29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0">
    <w:name w:val="Definition Term"/>
    <w:basedOn w:val="1"/>
    <w:next w:val="31"/>
    <w:qFormat/>
    <w:uiPriority w:val="0"/>
    <w:pPr>
      <w:keepNext/>
      <w:keepLines/>
      <w:spacing w:after="0"/>
    </w:pPr>
    <w:rPr>
      <w:b/>
    </w:rPr>
  </w:style>
  <w:style w:type="paragraph" w:customStyle="1" w:styleId="31">
    <w:name w:val="Definition"/>
    <w:basedOn w:val="1"/>
    <w:uiPriority w:val="0"/>
  </w:style>
  <w:style w:type="paragraph" w:customStyle="1" w:styleId="32">
    <w:name w:val="Table Caption"/>
    <w:basedOn w:val="12"/>
    <w:qFormat/>
    <w:uiPriority w:val="0"/>
    <w:pPr>
      <w:keepNext/>
    </w:pPr>
  </w:style>
  <w:style w:type="paragraph" w:customStyle="1" w:styleId="33">
    <w:name w:val="Image Caption"/>
    <w:basedOn w:val="12"/>
    <w:qFormat/>
    <w:uiPriority w:val="0"/>
  </w:style>
  <w:style w:type="paragraph" w:customStyle="1" w:styleId="34">
    <w:name w:val="Figure"/>
    <w:basedOn w:val="1"/>
    <w:qFormat/>
    <w:uiPriority w:val="0"/>
  </w:style>
  <w:style w:type="paragraph" w:customStyle="1" w:styleId="35">
    <w:name w:val="Captioned Figure"/>
    <w:basedOn w:val="34"/>
    <w:qFormat/>
    <w:uiPriority w:val="0"/>
    <w:pPr>
      <w:keepNext/>
    </w:pPr>
  </w:style>
  <w:style w:type="character" w:customStyle="1" w:styleId="36">
    <w:name w:val="Verbatim Char"/>
    <w:basedOn w:val="22"/>
    <w:link w:val="37"/>
    <w:uiPriority w:val="0"/>
    <w:rPr>
      <w:rFonts w:ascii="Consolas" w:hAnsi="Consolas"/>
      <w:sz w:val="22"/>
    </w:rPr>
  </w:style>
  <w:style w:type="paragraph" w:customStyle="1" w:styleId="37">
    <w:name w:val="Source Code"/>
    <w:basedOn w:val="1"/>
    <w:link w:val="36"/>
    <w:uiPriority w:val="0"/>
    <w:pPr>
      <w:wordWrap w:val="0"/>
    </w:pPr>
  </w:style>
  <w:style w:type="paragraph" w:customStyle="1" w:styleId="38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9">
    <w:name w:val="KeywordTok"/>
    <w:basedOn w:val="36"/>
    <w:qFormat/>
    <w:uiPriority w:val="0"/>
    <w:rPr>
      <w:b/>
      <w:color w:val="007020"/>
    </w:rPr>
  </w:style>
  <w:style w:type="character" w:customStyle="1" w:styleId="40">
    <w:name w:val="DataTypeTok"/>
    <w:basedOn w:val="36"/>
    <w:qFormat/>
    <w:uiPriority w:val="0"/>
    <w:rPr>
      <w:color w:val="902000"/>
    </w:rPr>
  </w:style>
  <w:style w:type="character" w:customStyle="1" w:styleId="41">
    <w:name w:val="DecValTok"/>
    <w:basedOn w:val="36"/>
    <w:qFormat/>
    <w:uiPriority w:val="0"/>
    <w:rPr>
      <w:color w:val="40A070"/>
    </w:rPr>
  </w:style>
  <w:style w:type="character" w:customStyle="1" w:styleId="42">
    <w:name w:val="BaseNTok"/>
    <w:basedOn w:val="36"/>
    <w:qFormat/>
    <w:uiPriority w:val="0"/>
    <w:rPr>
      <w:color w:val="40A070"/>
    </w:rPr>
  </w:style>
  <w:style w:type="character" w:customStyle="1" w:styleId="43">
    <w:name w:val="FloatTok"/>
    <w:basedOn w:val="36"/>
    <w:qFormat/>
    <w:uiPriority w:val="0"/>
    <w:rPr>
      <w:color w:val="40A070"/>
    </w:rPr>
  </w:style>
  <w:style w:type="character" w:customStyle="1" w:styleId="44">
    <w:name w:val="ConstantTok"/>
    <w:basedOn w:val="36"/>
    <w:qFormat/>
    <w:uiPriority w:val="0"/>
    <w:rPr>
      <w:color w:val="880000"/>
    </w:rPr>
  </w:style>
  <w:style w:type="character" w:customStyle="1" w:styleId="45">
    <w:name w:val="CharTok"/>
    <w:basedOn w:val="36"/>
    <w:uiPriority w:val="0"/>
    <w:rPr>
      <w:color w:val="4070A0"/>
    </w:rPr>
  </w:style>
  <w:style w:type="character" w:customStyle="1" w:styleId="46">
    <w:name w:val="SpecialCharTok"/>
    <w:basedOn w:val="36"/>
    <w:qFormat/>
    <w:uiPriority w:val="0"/>
    <w:rPr>
      <w:color w:val="4070A0"/>
    </w:rPr>
  </w:style>
  <w:style w:type="character" w:customStyle="1" w:styleId="47">
    <w:name w:val="StringTok"/>
    <w:basedOn w:val="36"/>
    <w:qFormat/>
    <w:uiPriority w:val="0"/>
    <w:rPr>
      <w:color w:val="4070A0"/>
    </w:rPr>
  </w:style>
  <w:style w:type="character" w:customStyle="1" w:styleId="48">
    <w:name w:val="VerbatimStringTok"/>
    <w:basedOn w:val="36"/>
    <w:qFormat/>
    <w:uiPriority w:val="0"/>
    <w:rPr>
      <w:color w:val="4070A0"/>
    </w:rPr>
  </w:style>
  <w:style w:type="character" w:customStyle="1" w:styleId="49">
    <w:name w:val="SpecialStringTok"/>
    <w:basedOn w:val="36"/>
    <w:qFormat/>
    <w:uiPriority w:val="0"/>
    <w:rPr>
      <w:color w:val="BB6688"/>
    </w:rPr>
  </w:style>
  <w:style w:type="character" w:customStyle="1" w:styleId="50">
    <w:name w:val="ImportTok"/>
    <w:basedOn w:val="36"/>
    <w:qFormat/>
    <w:uiPriority w:val="0"/>
  </w:style>
  <w:style w:type="character" w:customStyle="1" w:styleId="51">
    <w:name w:val="CommentTok"/>
    <w:basedOn w:val="36"/>
    <w:qFormat/>
    <w:uiPriority w:val="0"/>
    <w:rPr>
      <w:i/>
      <w:color w:val="60A0B0"/>
    </w:rPr>
  </w:style>
  <w:style w:type="character" w:customStyle="1" w:styleId="52">
    <w:name w:val="DocumentationTok"/>
    <w:basedOn w:val="36"/>
    <w:uiPriority w:val="0"/>
    <w:rPr>
      <w:i/>
      <w:color w:val="BA2121"/>
    </w:rPr>
  </w:style>
  <w:style w:type="character" w:customStyle="1" w:styleId="53">
    <w:name w:val="AnnotationTok"/>
    <w:basedOn w:val="36"/>
    <w:qFormat/>
    <w:uiPriority w:val="0"/>
    <w:rPr>
      <w:b/>
      <w:i/>
      <w:color w:val="60A0B0"/>
    </w:rPr>
  </w:style>
  <w:style w:type="character" w:customStyle="1" w:styleId="54">
    <w:name w:val="CommentVarTok"/>
    <w:basedOn w:val="36"/>
    <w:qFormat/>
    <w:uiPriority w:val="0"/>
    <w:rPr>
      <w:b/>
      <w:i/>
      <w:color w:val="60A0B0"/>
    </w:rPr>
  </w:style>
  <w:style w:type="character" w:customStyle="1" w:styleId="55">
    <w:name w:val="OtherTok"/>
    <w:basedOn w:val="36"/>
    <w:qFormat/>
    <w:uiPriority w:val="0"/>
    <w:rPr>
      <w:color w:val="007020"/>
    </w:rPr>
  </w:style>
  <w:style w:type="character" w:customStyle="1" w:styleId="56">
    <w:name w:val="FunctionTok"/>
    <w:basedOn w:val="36"/>
    <w:qFormat/>
    <w:uiPriority w:val="0"/>
    <w:rPr>
      <w:color w:val="06287E"/>
    </w:rPr>
  </w:style>
  <w:style w:type="character" w:customStyle="1" w:styleId="57">
    <w:name w:val="VariableTok"/>
    <w:basedOn w:val="36"/>
    <w:uiPriority w:val="0"/>
    <w:rPr>
      <w:color w:val="19177C"/>
    </w:rPr>
  </w:style>
  <w:style w:type="character" w:customStyle="1" w:styleId="58">
    <w:name w:val="ControlFlowTok"/>
    <w:basedOn w:val="36"/>
    <w:qFormat/>
    <w:uiPriority w:val="0"/>
    <w:rPr>
      <w:b/>
      <w:color w:val="007020"/>
    </w:rPr>
  </w:style>
  <w:style w:type="character" w:customStyle="1" w:styleId="59">
    <w:name w:val="OperatorTok"/>
    <w:basedOn w:val="36"/>
    <w:uiPriority w:val="0"/>
    <w:rPr>
      <w:color w:val="666666"/>
    </w:rPr>
  </w:style>
  <w:style w:type="character" w:customStyle="1" w:styleId="60">
    <w:name w:val="BuiltInTok"/>
    <w:basedOn w:val="36"/>
    <w:uiPriority w:val="0"/>
  </w:style>
  <w:style w:type="character" w:customStyle="1" w:styleId="61">
    <w:name w:val="ExtensionTok"/>
    <w:basedOn w:val="36"/>
    <w:qFormat/>
    <w:uiPriority w:val="0"/>
  </w:style>
  <w:style w:type="character" w:customStyle="1" w:styleId="62">
    <w:name w:val="PreprocessorTok"/>
    <w:basedOn w:val="36"/>
    <w:qFormat/>
    <w:uiPriority w:val="0"/>
    <w:rPr>
      <w:color w:val="BC7A00"/>
    </w:rPr>
  </w:style>
  <w:style w:type="character" w:customStyle="1" w:styleId="63">
    <w:name w:val="AttributeTok"/>
    <w:basedOn w:val="36"/>
    <w:qFormat/>
    <w:uiPriority w:val="0"/>
    <w:rPr>
      <w:color w:val="7D9029"/>
    </w:rPr>
  </w:style>
  <w:style w:type="character" w:customStyle="1" w:styleId="64">
    <w:name w:val="RegionMarkerTok"/>
    <w:basedOn w:val="36"/>
    <w:qFormat/>
    <w:uiPriority w:val="0"/>
  </w:style>
  <w:style w:type="character" w:customStyle="1" w:styleId="65">
    <w:name w:val="InformationTok"/>
    <w:basedOn w:val="36"/>
    <w:qFormat/>
    <w:uiPriority w:val="0"/>
    <w:rPr>
      <w:b/>
      <w:i/>
      <w:color w:val="60A0B0"/>
    </w:rPr>
  </w:style>
  <w:style w:type="character" w:customStyle="1" w:styleId="66">
    <w:name w:val="WarningTok"/>
    <w:basedOn w:val="36"/>
    <w:qFormat/>
    <w:uiPriority w:val="0"/>
    <w:rPr>
      <w:b/>
      <w:i/>
      <w:color w:val="60A0B0"/>
    </w:rPr>
  </w:style>
  <w:style w:type="character" w:customStyle="1" w:styleId="67">
    <w:name w:val="AlertTok"/>
    <w:basedOn w:val="36"/>
    <w:uiPriority w:val="0"/>
    <w:rPr>
      <w:b/>
      <w:color w:val="FF0000"/>
    </w:rPr>
  </w:style>
  <w:style w:type="character" w:customStyle="1" w:styleId="68">
    <w:name w:val="ErrorTok"/>
    <w:basedOn w:val="36"/>
    <w:qFormat/>
    <w:uiPriority w:val="0"/>
    <w:rPr>
      <w:b/>
      <w:color w:val="FF0000"/>
    </w:rPr>
  </w:style>
  <w:style w:type="character" w:customStyle="1" w:styleId="69">
    <w:name w:val="NormalTok"/>
    <w:basedOn w:val="36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475</Characters>
  <Lines>12</Lines>
  <Paragraphs>8</Paragraphs>
  <TotalTime>16</TotalTime>
  <ScaleCrop>false</ScaleCrop>
  <LinksUpToDate>false</LinksUpToDate>
  <CharactersWithSpaces>583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2020-12-04T03:10:00Z</dcterms:created>
  <dc:creator>－樳跡=</dc:creator>
  <dc:description>百度文库</dc:description>
  <cp:lastModifiedBy>Administrator</cp:lastModifiedBy>
  <dcterms:modified xsi:type="dcterms:W3CDTF">2020-12-07T02:06:22Z</dcterms:modified>
  <dc:title>设备技术协议书模板 - 百度文库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e-mobile-web-app-capable">
    <vt:lpwstr>yes</vt:lpwstr>
  </property>
  <property fmtid="{D5CDD505-2E9C-101B-9397-08002B2CF9AE}" pid="3" name="apple-mobile-web-app-status-bar-style">
    <vt:lpwstr>black</vt:lpwstr>
  </property>
  <property fmtid="{D5CDD505-2E9C-101B-9397-08002B2CF9AE}" pid="4" name="format-detection">
    <vt:lpwstr/>
  </property>
  <property fmtid="{D5CDD505-2E9C-101B-9397-08002B2CF9AE}" pid="5" name="referrer">
    <vt:lpwstr>never</vt:lpwstr>
  </property>
  <property fmtid="{D5CDD505-2E9C-101B-9397-08002B2CF9AE}" pid="6" name="viewport">
    <vt:lpwstr>width=device-width,minimum-scale=1.0,maximum-scale=1.0,user-scalable=no,viewport-fit=cover</vt:lpwstr>
  </property>
  <property fmtid="{D5CDD505-2E9C-101B-9397-08002B2CF9AE}" pid="7" name="KSOProductBuildVer">
    <vt:lpwstr>2052-11.1.0.10132</vt:lpwstr>
  </property>
</Properties>
</file>